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XJ20200001</w:t>
        </w:r>
        <w:r w:rsidR="00066040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2020-04-30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7"/>
        <w:tblW w:w="8552" w:type="dxa"/>
        <w:tblLook w:val="04A0" w:firstRow="1" w:lastRow="0" w:firstColumn="1" w:lastColumn="0" w:noHBand="0" w:noVBand="1"/>
      </w:tblPr>
      <w:tblGrid>
        <w:gridCol w:w="1555"/>
        <w:gridCol w:w="1348"/>
        <w:gridCol w:w="1296"/>
        <w:gridCol w:w="1566"/>
        <w:gridCol w:w="708"/>
        <w:gridCol w:w="2079"/>
      </w:tblGrid>
      <w:tr w:rsidR="00C1630F" w:rsidTr="005F260F">
        <w:trPr>
          <w:trHeight w:val="639"/>
        </w:trPr>
        <w:tc>
          <w:tcPr>
            <w:tcW w:w="1555" w:type="dxa"/>
            <w:vAlign w:val="center"/>
          </w:tcPr>
          <w:p w:rsidR="00C1630F" w:rsidRDefault="00C1630F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348" w:type="dxa"/>
            <w:vAlign w:val="center"/>
          </w:tcPr>
          <w:p w:rsidR="00C1630F" w:rsidRDefault="007566C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296" w:type="dxa"/>
            <w:vAlign w:val="center"/>
          </w:tcPr>
          <w:p w:rsidR="00C1630F" w:rsidRDefault="00C1630F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566" w:type="dxa"/>
            <w:vAlign w:val="center"/>
          </w:tcPr>
          <w:p w:rsidR="00C1630F" w:rsidRDefault="009A3D6E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708" w:type="dxa"/>
            <w:vAlign w:val="center"/>
          </w:tcPr>
          <w:p w:rsidR="00C1630F" w:rsidRDefault="00C1630F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079" w:type="dxa"/>
            <w:vAlign w:val="center"/>
          </w:tcPr>
          <w:p w:rsidR="00C1630F" w:rsidRDefault="00C1630F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5F260F">
        <w:trPr>
          <w:trHeight w:val="4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66040" w:rsidP="005C4673">
            <w:pPr>
              <w:widowControl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交叉科学研究院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66040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热空气消毒箱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66040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66040">
              <w:rPr>
                <w:rFonts w:ascii="宋体" w:hAnsi="宋体"/>
                <w:sz w:val="18"/>
                <w:szCs w:val="18"/>
              </w:rPr>
              <w:t>GRX-9141B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066040" w:rsidP="005C4673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66040">
              <w:rPr>
                <w:rFonts w:ascii="宋体" w:hAnsi="宋体" w:hint="eastAsia"/>
                <w:sz w:val="18"/>
                <w:szCs w:val="18"/>
              </w:rPr>
              <w:t>上海褔玛实验设备有限公司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9A3D6E" w:rsidP="005C467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C1630F" w:rsidRPr="00F72153" w:rsidRDefault="009A3D6E" w:rsidP="005C467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上海中医大尚新医学科技有限公司</w:t>
            </w:r>
          </w:p>
        </w:tc>
      </w:tr>
      <w:tr w:rsidR="009A3D6E" w:rsidRPr="004F1B5B" w:rsidTr="005F260F">
        <w:trPr>
          <w:trHeight w:val="4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066040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护理学院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066040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66040">
              <w:rPr>
                <w:rFonts w:ascii="宋体" w:hAnsi="宋体" w:hint="eastAsia"/>
                <w:sz w:val="18"/>
                <w:szCs w:val="18"/>
              </w:rPr>
              <w:t>会议设备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066040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066040">
              <w:rPr>
                <w:rFonts w:ascii="宋体" w:hAnsi="宋体"/>
                <w:sz w:val="18"/>
                <w:szCs w:val="18"/>
              </w:rPr>
              <w:t>YSX-C28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A3D6E" w:rsidRDefault="005F260F" w:rsidP="009A3D6E">
            <w:pPr>
              <w:widowControl/>
              <w:rPr>
                <w:rFonts w:ascii="宋体" w:hAnsi="宋体"/>
                <w:sz w:val="18"/>
                <w:szCs w:val="18"/>
              </w:rPr>
            </w:pPr>
            <w:r w:rsidRPr="005F260F">
              <w:rPr>
                <w:rFonts w:hint="eastAsia"/>
                <w:sz w:val="18"/>
                <w:szCs w:val="18"/>
              </w:rPr>
              <w:t>易视讯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A3D6E" w:rsidRDefault="00066040" w:rsidP="009A3D6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079" w:type="dxa"/>
            <w:vAlign w:val="center"/>
          </w:tcPr>
          <w:p w:rsidR="009A3D6E" w:rsidRPr="00F72153" w:rsidRDefault="005F260F" w:rsidP="009A3D6E">
            <w:pPr>
              <w:widowControl/>
              <w:jc w:val="left"/>
              <w:rPr>
                <w:sz w:val="18"/>
                <w:szCs w:val="18"/>
              </w:rPr>
            </w:pPr>
            <w:r w:rsidRPr="005F260F">
              <w:rPr>
                <w:rFonts w:hint="eastAsia"/>
                <w:sz w:val="18"/>
                <w:szCs w:val="18"/>
              </w:rPr>
              <w:t>深圳建豪易视讯有限公司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066040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2020.05.06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21" w:rsidRDefault="00695821" w:rsidP="00750080">
      <w:r>
        <w:separator/>
      </w:r>
    </w:p>
  </w:endnote>
  <w:endnote w:type="continuationSeparator" w:id="0">
    <w:p w:rsidR="00695821" w:rsidRDefault="00695821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21" w:rsidRDefault="00695821" w:rsidP="00750080">
      <w:r>
        <w:separator/>
      </w:r>
    </w:p>
  </w:footnote>
  <w:footnote w:type="continuationSeparator" w:id="0">
    <w:p w:rsidR="00695821" w:rsidRDefault="00695821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66040"/>
    <w:rsid w:val="00067A27"/>
    <w:rsid w:val="00092D44"/>
    <w:rsid w:val="000D2339"/>
    <w:rsid w:val="000E0D59"/>
    <w:rsid w:val="00101FAB"/>
    <w:rsid w:val="001207C2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3F70E8"/>
    <w:rsid w:val="00402E5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84EFA"/>
    <w:rsid w:val="005B0540"/>
    <w:rsid w:val="005C322B"/>
    <w:rsid w:val="005C4673"/>
    <w:rsid w:val="005E25AB"/>
    <w:rsid w:val="005F260F"/>
    <w:rsid w:val="005F6E2D"/>
    <w:rsid w:val="006132F9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54A22"/>
    <w:rsid w:val="00C8741F"/>
    <w:rsid w:val="00C915E1"/>
    <w:rsid w:val="00CB5C21"/>
    <w:rsid w:val="00CB73F6"/>
    <w:rsid w:val="00CC234F"/>
    <w:rsid w:val="00CC6A9B"/>
    <w:rsid w:val="00CE7954"/>
    <w:rsid w:val="00D0473D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31515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0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080"/>
    <w:rPr>
      <w:sz w:val="18"/>
      <w:szCs w:val="18"/>
    </w:rPr>
  </w:style>
  <w:style w:type="table" w:styleId="a7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47101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71018"/>
  </w:style>
  <w:style w:type="character" w:styleId="aa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12</cp:revision>
  <dcterms:created xsi:type="dcterms:W3CDTF">2019-11-26T01:10:00Z</dcterms:created>
  <dcterms:modified xsi:type="dcterms:W3CDTF">2020-05-06T06:15:00Z</dcterms:modified>
</cp:coreProperties>
</file>