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</w:t>
      </w:r>
      <w:r w:rsidR="007C360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7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</w:t>
      </w:r>
      <w:r w:rsidR="007C3603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7C360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1B454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7C360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28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1B4547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7C3603">
        <w:rPr>
          <w:rFonts w:ascii="宋体" w:eastAsia="宋体" w:hAnsi="宋体" w:cs="宋体"/>
          <w:color w:val="000000"/>
          <w:kern w:val="0"/>
          <w:sz w:val="27"/>
          <w:szCs w:val="27"/>
        </w:rPr>
        <w:t>28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940"/>
      </w:tblGrid>
      <w:tr w:rsidR="004F1B5B" w:rsidTr="001B4547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7C3603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冷冻台式高速离心机（带两个转头1.5ml,50ml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5430R；</w:t>
            </w:r>
          </w:p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widowControl/>
              <w:jc w:val="left"/>
              <w:rPr>
                <w:sz w:val="20"/>
              </w:rPr>
            </w:pPr>
            <w:r w:rsidRPr="007C3603">
              <w:rPr>
                <w:rFonts w:hint="eastAsia"/>
                <w:sz w:val="20"/>
              </w:rPr>
              <w:t>上海纵杉生物科技有限公司</w:t>
            </w:r>
          </w:p>
        </w:tc>
      </w:tr>
      <w:tr w:rsidR="007C3603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小型离心机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Minispin</w:t>
            </w:r>
          </w:p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上海纵杉生物科技有限公司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小型转印槽（湿转）</w:t>
            </w: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Trans-Blot</w:t>
            </w:r>
            <w:r w:rsidRPr="00A16194"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上海研度生物科技有限公司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垂直电泳槽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Mini-</w:t>
            </w:r>
            <w:r>
              <w:rPr>
                <w:rFonts w:ascii="宋体" w:hAnsi="宋体"/>
                <w:sz w:val="18"/>
                <w:szCs w:val="18"/>
              </w:rPr>
              <w:t>P</w:t>
            </w:r>
            <w:r w:rsidRPr="00A16194">
              <w:rPr>
                <w:rFonts w:ascii="宋体" w:hAnsi="宋体"/>
                <w:sz w:val="18"/>
                <w:szCs w:val="18"/>
              </w:rPr>
              <w:t>ROTEAN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 w:rsidRPr="00A16194">
              <w:rPr>
                <w:rFonts w:ascii="宋体" w:hAnsi="宋体"/>
                <w:sz w:val="18"/>
                <w:szCs w:val="18"/>
              </w:rPr>
              <w:t>Tetracell</w:t>
            </w:r>
            <w:r w:rsidRPr="00A16194">
              <w:rPr>
                <w:rFonts w:ascii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上海研度生物科技有限公司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半干转印槽</w:t>
            </w: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Trans-Blot SD</w:t>
            </w: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上海研度生物科技有限公司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高电流电泳仪电源；</w:t>
            </w: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/>
                <w:sz w:val="18"/>
                <w:szCs w:val="18"/>
              </w:rPr>
              <w:t>PowerPac™ HC</w:t>
            </w: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伯乐</w:t>
            </w: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上海研度生物科技有限公司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梯度PCR仪</w:t>
            </w: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SimpliAmp</w:t>
            </w: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life technologies</w:t>
            </w: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上海洪昕生物科技有限公司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PCR仪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2720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life technologies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上海洪昕生物</w:t>
            </w:r>
            <w:r w:rsidRPr="007C3603">
              <w:rPr>
                <w:rFonts w:hint="eastAsia"/>
                <w:sz w:val="20"/>
                <w:szCs w:val="20"/>
              </w:rPr>
              <w:lastRenderedPageBreak/>
              <w:t>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lastRenderedPageBreak/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生物化学发光检测仪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GloMax 20/20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Promega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上海纳宣生物科技有限公司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恒温混匀仪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THERMOMIXER COMPACT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eppendof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rPr>
                <w:sz w:val="20"/>
                <w:szCs w:val="20"/>
              </w:rPr>
            </w:pPr>
            <w:r w:rsidRPr="007C3603">
              <w:rPr>
                <w:rFonts w:hint="eastAsia"/>
                <w:sz w:val="20"/>
                <w:szCs w:val="20"/>
              </w:rPr>
              <w:t>上海纵杉生物科技有限公司</w:t>
            </w:r>
          </w:p>
        </w:tc>
      </w:tr>
      <w:tr w:rsidR="007C3603" w:rsidRPr="004F1B5B" w:rsidTr="00313BB7">
        <w:trPr>
          <w:trHeight w:val="402"/>
        </w:trPr>
        <w:tc>
          <w:tcPr>
            <w:tcW w:w="1271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中药研究所</w:t>
            </w:r>
          </w:p>
        </w:tc>
        <w:tc>
          <w:tcPr>
            <w:tcW w:w="1203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管辉达</w:t>
            </w:r>
          </w:p>
        </w:tc>
        <w:tc>
          <w:tcPr>
            <w:tcW w:w="640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905-ULTS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center"/>
          </w:tcPr>
          <w:p w:rsidR="007C3603" w:rsidRPr="00A16194" w:rsidRDefault="007C3603" w:rsidP="007C360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Thermo</w:t>
            </w:r>
          </w:p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6" w:type="dxa"/>
            <w:noWrap/>
            <w:vAlign w:val="center"/>
          </w:tcPr>
          <w:p w:rsidR="007C3603" w:rsidRPr="00A16194" w:rsidRDefault="007C3603" w:rsidP="007C360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:rsidR="007C3603" w:rsidRDefault="007C3603" w:rsidP="007C3603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上海津恩生物科技有限公司</w:t>
            </w:r>
          </w:p>
          <w:p w:rsidR="007C3603" w:rsidRDefault="007C3603" w:rsidP="007C3603">
            <w:pPr>
              <w:rPr>
                <w:sz w:val="20"/>
                <w:szCs w:val="20"/>
              </w:rPr>
            </w:pP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</w:t>
      </w: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D93443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D93443">
        <w:rPr>
          <w:rFonts w:ascii="宋体" w:eastAsia="宋体" w:hAnsi="宋体" w:cs="宋体"/>
          <w:color w:val="000000"/>
          <w:kern w:val="0"/>
          <w:sz w:val="27"/>
          <w:szCs w:val="27"/>
        </w:rPr>
        <w:t>08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86" w:rsidRDefault="00332E86" w:rsidP="00750080">
      <w:r>
        <w:separator/>
      </w:r>
    </w:p>
  </w:endnote>
  <w:endnote w:type="continuationSeparator" w:id="0">
    <w:p w:rsidR="00332E86" w:rsidRDefault="00332E86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86" w:rsidRDefault="00332E86" w:rsidP="00750080">
      <w:r>
        <w:separator/>
      </w:r>
    </w:p>
  </w:footnote>
  <w:footnote w:type="continuationSeparator" w:id="0">
    <w:p w:rsidR="00332E86" w:rsidRDefault="00332E86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2D26"/>
    <w:rsid w:val="002F780C"/>
    <w:rsid w:val="00317775"/>
    <w:rsid w:val="00332E86"/>
    <w:rsid w:val="00371F9C"/>
    <w:rsid w:val="00391965"/>
    <w:rsid w:val="003D79A1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A0317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93443"/>
    <w:rsid w:val="00DA4E31"/>
    <w:rsid w:val="00DB0C26"/>
    <w:rsid w:val="00DB3FBE"/>
    <w:rsid w:val="00DD4D33"/>
    <w:rsid w:val="00DF6E52"/>
    <w:rsid w:val="00E3481F"/>
    <w:rsid w:val="00E90FB4"/>
    <w:rsid w:val="00EB7B8F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Company>china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2018-07-06T06:46:00Z</dcterms:created>
  <dcterms:modified xsi:type="dcterms:W3CDTF">2018-07-06T06:48:00Z</dcterms:modified>
</cp:coreProperties>
</file>