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185668">
        <w:rPr>
          <w:rFonts w:hint="eastAsia"/>
          <w:b/>
          <w:sz w:val="36"/>
        </w:rPr>
        <w:t>二氧化碳培养箱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185668" w:rsidRPr="00185668" w:rsidRDefault="00DD2C6A" w:rsidP="00185668">
      <w:pPr>
        <w:rPr>
          <w:rFonts w:ascii="Tahoma" w:hAnsi="Tahoma" w:cs="Tahoma"/>
          <w:color w:val="484848"/>
          <w:kern w:val="0"/>
          <w:sz w:val="18"/>
          <w:szCs w:val="18"/>
        </w:rPr>
      </w:pPr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287"/>
        <w:gridCol w:w="2070"/>
        <w:gridCol w:w="2067"/>
      </w:tblGrid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温度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控制精度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±0.1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控制范围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高于室温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5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-50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均</w:t>
            </w:r>
            <w:proofErr w:type="gramStart"/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一</w:t>
            </w:r>
            <w:proofErr w:type="gramEnd"/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性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±0.3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@37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灭菌循环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传感器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精密热敏电阻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灭菌温度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140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灭菌时间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≤12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小时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CO2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控制精度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优于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±0.1%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CO2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传感器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T/C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或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IR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输入压力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15PSIG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湿度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相对湿度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RH 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环境湿度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—95%@37</w:t>
            </w:r>
            <w:r w:rsidRPr="00185668">
              <w:rPr>
                <w:rFonts w:ascii="Microsoft YaHei UI" w:eastAsia="Microsoft YaHei UI" w:hAnsi="Microsoft YaHei UI" w:cs="Microsoft YaHei UI"/>
                <w:color w:val="484848"/>
                <w:kern w:val="0"/>
                <w:sz w:val="18"/>
                <w:szCs w:val="18"/>
              </w:rPr>
              <w:t>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增湿盘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3.0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升（标准）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规格</w:t>
            </w: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 xml:space="preserve"> (W×H×D)mm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外部体积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663×1003×635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内部体积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540×681×508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搁板标准数量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4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块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结构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体积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184.1L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内层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304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型抛光不锈钢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外层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18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号冷轧钢，覆粉末涂层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b/>
                <w:bCs/>
                <w:color w:val="484848"/>
                <w:kern w:val="0"/>
                <w:sz w:val="18"/>
                <w:szCs w:val="18"/>
              </w:rPr>
              <w:t>电气</w:t>
            </w:r>
          </w:p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230V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型号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230V, 50/60Hz, 4.4FLA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断电器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/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电源开关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12A/2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   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附件输出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最大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75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瓦（每箱一个）</w:t>
            </w:r>
          </w:p>
        </w:tc>
      </w:tr>
      <w:tr w:rsidR="00185668" w:rsidRPr="00185668" w:rsidTr="0018566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工作电压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180-250V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净重</w:t>
            </w: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 xml:space="preserve"> 118kg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668" w:rsidRPr="00185668" w:rsidRDefault="00185668" w:rsidP="00185668">
            <w:pPr>
              <w:widowControl/>
              <w:spacing w:line="270" w:lineRule="atLeast"/>
              <w:jc w:val="left"/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</w:pPr>
            <w:r w:rsidRPr="00185668">
              <w:rPr>
                <w:rFonts w:ascii="Tahoma" w:hAnsi="Tahoma" w:cs="Tahoma"/>
                <w:color w:val="484848"/>
                <w:kern w:val="0"/>
                <w:sz w:val="18"/>
                <w:szCs w:val="18"/>
              </w:rPr>
              <w:t> </w:t>
            </w:r>
          </w:p>
        </w:tc>
      </w:tr>
    </w:tbl>
    <w:p w:rsidR="00742BE5" w:rsidRPr="002C24BE" w:rsidRDefault="00742BE5" w:rsidP="009D7B34"/>
    <w:sectPr w:rsidR="00742BE5" w:rsidRPr="002C24BE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F4" w:rsidRDefault="006071F4" w:rsidP="00DD54A5">
      <w:r>
        <w:separator/>
      </w:r>
    </w:p>
  </w:endnote>
  <w:endnote w:type="continuationSeparator" w:id="0">
    <w:p w:rsidR="006071F4" w:rsidRDefault="006071F4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F4" w:rsidRDefault="006071F4" w:rsidP="00DD54A5">
      <w:r>
        <w:separator/>
      </w:r>
    </w:p>
  </w:footnote>
  <w:footnote w:type="continuationSeparator" w:id="0">
    <w:p w:rsidR="006071F4" w:rsidRDefault="006071F4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185668">
      <w:rPr>
        <w:sz w:val="21"/>
      </w:rPr>
      <w:t>170617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85668"/>
    <w:rsid w:val="00191480"/>
    <w:rsid w:val="001B2024"/>
    <w:rsid w:val="002171DC"/>
    <w:rsid w:val="00246F82"/>
    <w:rsid w:val="00270EDD"/>
    <w:rsid w:val="00297A9F"/>
    <w:rsid w:val="002C24BE"/>
    <w:rsid w:val="00322A5D"/>
    <w:rsid w:val="00326618"/>
    <w:rsid w:val="00354F60"/>
    <w:rsid w:val="00382A65"/>
    <w:rsid w:val="003A06A7"/>
    <w:rsid w:val="004428FC"/>
    <w:rsid w:val="0058706C"/>
    <w:rsid w:val="005B423E"/>
    <w:rsid w:val="006071F4"/>
    <w:rsid w:val="00616208"/>
    <w:rsid w:val="00655EF6"/>
    <w:rsid w:val="006645CA"/>
    <w:rsid w:val="00690D7A"/>
    <w:rsid w:val="006A26C5"/>
    <w:rsid w:val="006F5893"/>
    <w:rsid w:val="00707C7D"/>
    <w:rsid w:val="00742BE5"/>
    <w:rsid w:val="007D2566"/>
    <w:rsid w:val="007D6A6E"/>
    <w:rsid w:val="00804652"/>
    <w:rsid w:val="0084011D"/>
    <w:rsid w:val="008C7C37"/>
    <w:rsid w:val="009841CA"/>
    <w:rsid w:val="009B024E"/>
    <w:rsid w:val="009D7B34"/>
    <w:rsid w:val="009E23D2"/>
    <w:rsid w:val="00A035A7"/>
    <w:rsid w:val="00A84D16"/>
    <w:rsid w:val="00AB29B3"/>
    <w:rsid w:val="00AD6945"/>
    <w:rsid w:val="00B82AB9"/>
    <w:rsid w:val="00B95AED"/>
    <w:rsid w:val="00C5476A"/>
    <w:rsid w:val="00C86299"/>
    <w:rsid w:val="00D25DFC"/>
    <w:rsid w:val="00D4496B"/>
    <w:rsid w:val="00D7230D"/>
    <w:rsid w:val="00DD2C6A"/>
    <w:rsid w:val="00DD54A5"/>
    <w:rsid w:val="00E44D27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C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2017-06-07T02:37:00Z</dcterms:created>
  <dcterms:modified xsi:type="dcterms:W3CDTF">2017-06-07T02:37:00Z</dcterms:modified>
</cp:coreProperties>
</file>