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8E6FF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DB3FBE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17</w:t>
      </w:r>
      <w:r w:rsidR="008E6FFF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-</w:t>
      </w:r>
      <w:r w:rsidR="00DF6E52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11-15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8E6FFF" w:rsidRPr="008E6FFF" w:rsidRDefault="008E6FFF" w:rsidP="008E6FF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FA1AF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进口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设备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BF7E2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</w:t>
      </w:r>
      <w:r w:rsidR="008D5AAD">
        <w:rPr>
          <w:rFonts w:ascii="宋体" w:eastAsia="宋体" w:hAnsi="宋体" w:cs="宋体"/>
          <w:color w:val="000000"/>
          <w:kern w:val="0"/>
          <w:sz w:val="27"/>
          <w:szCs w:val="27"/>
        </w:rPr>
        <w:t>_</w:t>
      </w:r>
      <w:r w:rsidR="00DB3FBE">
        <w:rPr>
          <w:rFonts w:ascii="宋体" w:eastAsia="宋体" w:hAnsi="宋体" w:cs="宋体"/>
          <w:color w:val="000000"/>
          <w:kern w:val="0"/>
          <w:sz w:val="27"/>
          <w:szCs w:val="27"/>
        </w:rPr>
        <w:t>17</w:t>
      </w:r>
      <w:r w:rsidR="008E6FF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-</w:t>
      </w:r>
      <w:r w:rsidR="00DF6E52">
        <w:rPr>
          <w:rFonts w:ascii="宋体" w:eastAsia="宋体" w:hAnsi="宋体" w:cs="宋体"/>
          <w:color w:val="000000"/>
          <w:kern w:val="0"/>
          <w:sz w:val="27"/>
          <w:szCs w:val="27"/>
        </w:rPr>
        <w:t>11-15 2017.11.15</w:t>
      </w:r>
    </w:p>
    <w:p w:rsidR="008E6FFF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DF6E52">
        <w:rPr>
          <w:rFonts w:ascii="宋体" w:eastAsia="宋体" w:hAnsi="宋体" w:cs="宋体"/>
          <w:color w:val="000000"/>
          <w:kern w:val="0"/>
          <w:sz w:val="27"/>
          <w:szCs w:val="27"/>
        </w:rPr>
        <w:t>11-15</w:t>
      </w:r>
    </w:p>
    <w:p w:rsidR="00BF7E2A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</w:p>
    <w:tbl>
      <w:tblPr>
        <w:tblStyle w:val="a5"/>
        <w:tblW w:w="8409" w:type="dxa"/>
        <w:tblLook w:val="04A0" w:firstRow="1" w:lastRow="0" w:firstColumn="1" w:lastColumn="0" w:noHBand="0" w:noVBand="1"/>
      </w:tblPr>
      <w:tblGrid>
        <w:gridCol w:w="1351"/>
        <w:gridCol w:w="1123"/>
        <w:gridCol w:w="1128"/>
        <w:gridCol w:w="1595"/>
        <w:gridCol w:w="1166"/>
        <w:gridCol w:w="740"/>
        <w:gridCol w:w="1306"/>
      </w:tblGrid>
      <w:tr w:rsidR="008D5AAD" w:rsidTr="00DF6E52">
        <w:trPr>
          <w:trHeight w:val="639"/>
        </w:trPr>
        <w:tc>
          <w:tcPr>
            <w:tcW w:w="1351" w:type="dxa"/>
            <w:vAlign w:val="center"/>
          </w:tcPr>
          <w:p w:rsidR="008D5AAD" w:rsidRDefault="008D5AAD" w:rsidP="008D5AA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</w:t>
            </w:r>
          </w:p>
        </w:tc>
        <w:tc>
          <w:tcPr>
            <w:tcW w:w="1123" w:type="dxa"/>
            <w:vAlign w:val="center"/>
          </w:tcPr>
          <w:p w:rsidR="008D5AAD" w:rsidRDefault="008D5AAD" w:rsidP="008D5A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使用人</w:t>
            </w:r>
          </w:p>
        </w:tc>
        <w:tc>
          <w:tcPr>
            <w:tcW w:w="1128" w:type="dxa"/>
            <w:vAlign w:val="center"/>
          </w:tcPr>
          <w:p w:rsidR="008D5AAD" w:rsidRDefault="008D5AAD" w:rsidP="008D5AA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1595" w:type="dxa"/>
            <w:vAlign w:val="center"/>
          </w:tcPr>
          <w:p w:rsidR="008D5AAD" w:rsidRDefault="008D5AAD" w:rsidP="008D5A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1166" w:type="dxa"/>
            <w:vAlign w:val="center"/>
          </w:tcPr>
          <w:p w:rsidR="008D5AAD" w:rsidRDefault="008D5AAD" w:rsidP="008D5A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</w:t>
            </w:r>
          </w:p>
        </w:tc>
        <w:tc>
          <w:tcPr>
            <w:tcW w:w="740" w:type="dxa"/>
            <w:vAlign w:val="center"/>
          </w:tcPr>
          <w:p w:rsidR="008D5AAD" w:rsidRDefault="008D5AAD" w:rsidP="008D5A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306" w:type="dxa"/>
            <w:vAlign w:val="center"/>
          </w:tcPr>
          <w:p w:rsidR="008D5AAD" w:rsidRDefault="008D5AAD" w:rsidP="008D5AA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成交商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冷冻离心机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5430R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艾本德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艾本德（上海）国际贸易有限公司</w:t>
            </w:r>
          </w:p>
        </w:tc>
      </w:tr>
      <w:tr w:rsidR="00DF6E52" w:rsidTr="00165C10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移液器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排枪</w:t>
            </w:r>
            <w:r>
              <w:rPr>
                <w:rFonts w:hint="eastAsia"/>
                <w:sz w:val="20"/>
                <w:szCs w:val="20"/>
              </w:rPr>
              <w:t>300ul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艾本德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</w:tcPr>
          <w:p w:rsidR="00DF6E52" w:rsidRDefault="00DF6E52" w:rsidP="00DF6E52">
            <w:r w:rsidRPr="0092571A">
              <w:rPr>
                <w:rFonts w:hint="eastAsia"/>
                <w:sz w:val="20"/>
                <w:szCs w:val="20"/>
              </w:rPr>
              <w:t>艾本德（上海）国际贸易有限公司</w:t>
            </w:r>
          </w:p>
        </w:tc>
      </w:tr>
      <w:tr w:rsidR="00DF6E52" w:rsidTr="00165C10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移液器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20ul,100ul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1000ul</w:t>
            </w:r>
            <w:r>
              <w:rPr>
                <w:rFonts w:hint="eastAsia"/>
                <w:sz w:val="20"/>
                <w:szCs w:val="20"/>
              </w:rPr>
              <w:t>各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把，一共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艾本德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1306" w:type="dxa"/>
          </w:tcPr>
          <w:p w:rsidR="00DF6E52" w:rsidRDefault="00DF6E52" w:rsidP="00DF6E52">
            <w:r w:rsidRPr="0092571A">
              <w:rPr>
                <w:rFonts w:hint="eastAsia"/>
                <w:sz w:val="20"/>
                <w:szCs w:val="20"/>
              </w:rPr>
              <w:t>艾本德（上海）国际贸易有限公司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发光检测仪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GLOMAX20/20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PROMEGA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上海盛兆生物科技有限公司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垂直电泳仪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电源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mini-protein tatra cell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powerpec basic power supply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伯乐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安景科技有限公司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超微量分光光度计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DS-11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DeNovix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中药学院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药理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王天明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PCR</w:t>
            </w:r>
            <w:r>
              <w:rPr>
                <w:rFonts w:hint="eastAsia"/>
                <w:sz w:val="20"/>
                <w:szCs w:val="20"/>
              </w:rPr>
              <w:t>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Veriti</w:t>
            </w:r>
            <w:r>
              <w:rPr>
                <w:rFonts w:hint="eastAsia"/>
                <w:sz w:val="20"/>
                <w:szCs w:val="20"/>
              </w:rPr>
              <w:t>™</w:t>
            </w:r>
            <w:r>
              <w:rPr>
                <w:rFonts w:hint="eastAsia"/>
                <w:sz w:val="20"/>
                <w:szCs w:val="20"/>
              </w:rPr>
              <w:t xml:space="preserve"> 96-Well Thermal Cycler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ABI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多样品自动浓缩仪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AutoVap S60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ATR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力德生物科技（上海）有限公司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正压固相萃取仪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Pressure+48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Biotage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力德生物科技（上海）有限公司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</w:t>
            </w:r>
            <w:r>
              <w:rPr>
                <w:rFonts w:hint="eastAsia"/>
                <w:sz w:val="20"/>
                <w:szCs w:val="20"/>
              </w:rPr>
              <w:lastRenderedPageBreak/>
              <w:t>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倒置显微镜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CKX53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Olympus 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</w:t>
            </w:r>
            <w:r>
              <w:rPr>
                <w:rFonts w:hint="eastAsia"/>
                <w:sz w:val="20"/>
                <w:szCs w:val="20"/>
              </w:rPr>
              <w:lastRenderedPageBreak/>
              <w:t>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超声波细胞破碎仪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Q700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Qsonica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冷却装置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4900 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Qsonica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离心浓缩仪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Centrivap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Labconco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冷阱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4L</w:t>
            </w:r>
            <w:r>
              <w:rPr>
                <w:rFonts w:hint="eastAsia"/>
                <w:sz w:val="20"/>
                <w:szCs w:val="20"/>
              </w:rPr>
              <w:t>不锈钢冷阱</w:t>
            </w:r>
            <w:r>
              <w:rPr>
                <w:rFonts w:hint="eastAsia"/>
                <w:sz w:val="20"/>
                <w:szCs w:val="20"/>
              </w:rPr>
              <w:t xml:space="preserve"> 7460037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Labconco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真空隔膜泵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7393001 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Vaccubrand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上海百翱杰生物科技有限公司</w:t>
            </w:r>
          </w:p>
        </w:tc>
      </w:tr>
      <w:tr w:rsidR="00DF6E52" w:rsidTr="00DF6E52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电泳仪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AE-8135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ATTO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1306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北京倍辉科技有限公司</w:t>
            </w:r>
          </w:p>
        </w:tc>
      </w:tr>
      <w:tr w:rsidR="00DF6E52" w:rsidTr="000E65CD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电泳槽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AE-6500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ATTO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1306" w:type="dxa"/>
          </w:tcPr>
          <w:p w:rsidR="00DF6E52" w:rsidRDefault="00DF6E52" w:rsidP="00DF6E52">
            <w:r w:rsidRPr="00772989">
              <w:rPr>
                <w:rFonts w:hint="eastAsia"/>
                <w:sz w:val="20"/>
                <w:szCs w:val="20"/>
              </w:rPr>
              <w:t>北京倍辉科技有限公司</w:t>
            </w:r>
          </w:p>
        </w:tc>
      </w:tr>
      <w:tr w:rsidR="00DF6E52" w:rsidTr="000E65CD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水平电泳槽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Mupid-2plus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ATTO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1306" w:type="dxa"/>
          </w:tcPr>
          <w:p w:rsidR="00DF6E52" w:rsidRDefault="00DF6E52" w:rsidP="00DF6E52">
            <w:r w:rsidRPr="00772989">
              <w:rPr>
                <w:rFonts w:hint="eastAsia"/>
                <w:sz w:val="20"/>
                <w:szCs w:val="20"/>
              </w:rPr>
              <w:t>北京倍辉科技有限公司</w:t>
            </w:r>
          </w:p>
        </w:tc>
      </w:tr>
      <w:tr w:rsidR="00DF6E52" w:rsidTr="000E65CD">
        <w:tc>
          <w:tcPr>
            <w:tcW w:w="1351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中药研究所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中药药物分析研究室</w:t>
            </w:r>
          </w:p>
        </w:tc>
        <w:tc>
          <w:tcPr>
            <w:tcW w:w="1123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管辉达</w:t>
            </w:r>
          </w:p>
        </w:tc>
        <w:tc>
          <w:tcPr>
            <w:tcW w:w="1128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半干转印仪</w:t>
            </w:r>
          </w:p>
        </w:tc>
        <w:tc>
          <w:tcPr>
            <w:tcW w:w="1595" w:type="dxa"/>
            <w:vAlign w:val="center"/>
          </w:tcPr>
          <w:p w:rsidR="00DF6E52" w:rsidRDefault="00DF6E52" w:rsidP="00DF6E5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WSE-4020</w:t>
            </w:r>
          </w:p>
        </w:tc>
        <w:tc>
          <w:tcPr>
            <w:tcW w:w="1166" w:type="dxa"/>
            <w:vAlign w:val="center"/>
          </w:tcPr>
          <w:p w:rsidR="00DF6E52" w:rsidRDefault="00DF6E52" w:rsidP="00DF6E5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ATTO</w:t>
            </w:r>
          </w:p>
        </w:tc>
        <w:tc>
          <w:tcPr>
            <w:tcW w:w="740" w:type="dxa"/>
            <w:vAlign w:val="center"/>
          </w:tcPr>
          <w:p w:rsidR="00DF6E52" w:rsidRDefault="00DF6E52" w:rsidP="00DF6E5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1306" w:type="dxa"/>
          </w:tcPr>
          <w:p w:rsidR="00DF6E52" w:rsidRDefault="00DF6E52" w:rsidP="00DF6E52">
            <w:r w:rsidRPr="00772989">
              <w:rPr>
                <w:rFonts w:hint="eastAsia"/>
                <w:sz w:val="20"/>
                <w:szCs w:val="20"/>
              </w:rPr>
              <w:t>北京倍辉科技有限公司</w:t>
            </w:r>
          </w:p>
        </w:tc>
      </w:tr>
    </w:tbl>
    <w:p w:rsidR="00750080" w:rsidRPr="008D6743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8E6FFF" w:rsidP="008E6FFF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 </w:t>
      </w:r>
      <w:r w:rsidR="00750080"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7500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="00750080"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 w:rsidR="0075008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Pr="00D43BDA" w:rsidRDefault="008E6FFF" w:rsidP="00471018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资产管理处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D24E1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2017.11.23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E7" w:rsidRDefault="00D27AE7" w:rsidP="00750080">
      <w:r>
        <w:separator/>
      </w:r>
    </w:p>
  </w:endnote>
  <w:endnote w:type="continuationSeparator" w:id="0">
    <w:p w:rsidR="00D27AE7" w:rsidRDefault="00D27AE7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E7" w:rsidRDefault="00D27AE7" w:rsidP="00750080">
      <w:r>
        <w:separator/>
      </w:r>
    </w:p>
  </w:footnote>
  <w:footnote w:type="continuationSeparator" w:id="0">
    <w:p w:rsidR="00D27AE7" w:rsidRDefault="00D27AE7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464FA"/>
    <w:rsid w:val="00092D44"/>
    <w:rsid w:val="000D2339"/>
    <w:rsid w:val="00172C09"/>
    <w:rsid w:val="00183564"/>
    <w:rsid w:val="002340F0"/>
    <w:rsid w:val="002955A9"/>
    <w:rsid w:val="002E2D26"/>
    <w:rsid w:val="002F780C"/>
    <w:rsid w:val="00317775"/>
    <w:rsid w:val="003D79A1"/>
    <w:rsid w:val="00471018"/>
    <w:rsid w:val="004A70F5"/>
    <w:rsid w:val="004B0E0A"/>
    <w:rsid w:val="004C69D2"/>
    <w:rsid w:val="00584EFA"/>
    <w:rsid w:val="005B0540"/>
    <w:rsid w:val="007037ED"/>
    <w:rsid w:val="007039BB"/>
    <w:rsid w:val="00750080"/>
    <w:rsid w:val="007B5F60"/>
    <w:rsid w:val="00833A1C"/>
    <w:rsid w:val="00843B53"/>
    <w:rsid w:val="008D231C"/>
    <w:rsid w:val="008D5AAD"/>
    <w:rsid w:val="008D6743"/>
    <w:rsid w:val="008E6FFF"/>
    <w:rsid w:val="00947F84"/>
    <w:rsid w:val="009A424A"/>
    <w:rsid w:val="009F3C3D"/>
    <w:rsid w:val="00A57461"/>
    <w:rsid w:val="00A7178A"/>
    <w:rsid w:val="00AB0E02"/>
    <w:rsid w:val="00B707CF"/>
    <w:rsid w:val="00B85BAC"/>
    <w:rsid w:val="00BF7E2A"/>
    <w:rsid w:val="00C0235B"/>
    <w:rsid w:val="00C121A6"/>
    <w:rsid w:val="00C123C2"/>
    <w:rsid w:val="00C4240D"/>
    <w:rsid w:val="00C915E1"/>
    <w:rsid w:val="00CB73F6"/>
    <w:rsid w:val="00CE7954"/>
    <w:rsid w:val="00D24E1E"/>
    <w:rsid w:val="00D27AE7"/>
    <w:rsid w:val="00D3028E"/>
    <w:rsid w:val="00D5785C"/>
    <w:rsid w:val="00D87300"/>
    <w:rsid w:val="00DA4E31"/>
    <w:rsid w:val="00DB0C26"/>
    <w:rsid w:val="00DB3FBE"/>
    <w:rsid w:val="00DD4D33"/>
    <w:rsid w:val="00DF6E52"/>
    <w:rsid w:val="00E90FB4"/>
    <w:rsid w:val="00EB7B8F"/>
    <w:rsid w:val="00FA1AF0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  <w:style w:type="table" w:styleId="a5">
    <w:name w:val="Table Grid"/>
    <w:basedOn w:val="a1"/>
    <w:uiPriority w:val="59"/>
    <w:rsid w:val="008D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4710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</cp:lastModifiedBy>
  <cp:revision>3</cp:revision>
  <dcterms:created xsi:type="dcterms:W3CDTF">2017-11-23T00:10:00Z</dcterms:created>
  <dcterms:modified xsi:type="dcterms:W3CDTF">2017-11-23T00:10:00Z</dcterms:modified>
</cp:coreProperties>
</file>